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65</w:t>
      </w:r>
    </w:p>
    <w:p>
      <w:r>
        <w:t>Bundesgericht (BGE), 1989-06-13, DE</w:t>
      </w:r>
    </w:p>
    <w:p>
      <w:r>
        <w:rPr>
          <w:b/>
        </w:rPr>
        <w:t xml:space="preserve">Quelle: </w:t>
      </w:r>
      <w:r>
        <w:t>https://mcp.opencaselaw.ch/entscheid/bge_115 III 65</w:t>
      </w:r>
    </w:p>
    <w:p>
      <w:r>
        <w:t>FR: ATF 115 III 65</w:t>
      </w:r>
    </w:p>
    <w:p>
      <w:r>
        <w:t>IT: DTF 115 III 65</w:t>
      </w:r>
    </w:p>
    <w:p>
      <w:pPr>
        <w:pStyle w:val="Heading2"/>
      </w:pPr>
      <w:r>
        <w:t>Regeste</w:t>
      </w:r>
    </w:p>
    <w:p>
      <w:r>
        <w:t>Regeste Forderungsverrechnung nach Eröffnung des Konkurses. Im Konkurs des Vermieters bewirkt erst die Veräusserung der Mietsache gemäss Art. 259 OR eine Änderung des Mietverhältnisses. Im Rahmen des Dauerschuldverhältnisses entsteht die Mietzinsforderung aber mit Ablauf oder Beginn der Zahlungsperiode jeweils von neuem. Die Eröffnung des Konkurses bewirkt deshalb einen Wechsel in der Rechtszuständigkeit bezüglich des Gläubigers. Die Folge davon ist der Ausschluss der Verrechnung gemäss Art. 213 Abs. 2 Ziff. 2 SchKG. Allfällige Vorausverfügungen des Vermieters, die künftigen Mietzinsforderungen betreffend, sind demnach lediglich bis zur Eröffnung des Konkurses wirksam (E. 3).</w:t>
      </w:r>
    </w:p>
    <w:p>
      <w:pPr>
        <w:pStyle w:val="Heading2"/>
      </w:pPr>
      <w:r>
        <w:t>Erwägungen</w:t>
      </w:r>
    </w:p>
    <w:p>
      <w:r>
        <w:rPr>
          <w:b/>
        </w:rPr>
        <w:t>E. 3</w:t>
      </w:r>
    </w:p>
    <w:p>
      <w:r>
        <w:t>In der Sache selbst macht der Kläger geltend, das Obergericht habe bundesrechtswidrig einen Untergang der im Rechtsöffnungsverfahren geschützten Mietzinsforderung verneint. Bereits bei Abschluss des Mietvertrages habe er gestützt auf die ausdrücklich vereinbarte Befugnis die Verrechnung sämtlicher Mietzinsschulden während der festen Vertragsdauer von drei Jahren mit seiner Kontokorrentforderung erklärt. Das Obergericht hat diesen Standpunkt mit den voneinander unabhängigen Begründungen verworfen, einerseits sei eine entsprechende Verrechnungserklärung unbewiesen geblieben, anderseits wäre sie gegenüber den nach Konkurseröffnung auflaufenden Mietzinsen ohnehin rechtsunwirksam gewesen. Die erste Begründung hat das Kassationsgericht wegen formeller Rechtsverweigerung (Verletzung des Gehörsanspruchs durch Beweisverstellung) gestrichen; die zweite war im kantonalen Nichtigkeitsverfahren nicht zu prüfen ( § 285 ZPO /ZH). Insoweit steht die Berufung an das Bundesgericht offen. a) Der Konkurs des Vermieters nach Besitzantritt des Mieters berührt das Mietverhältnis als solches vorerst nicht. Einerseits hat die Konkursverwaltung dem Mieter das Objekt zum Gebrauch zu überlassen, anderseits steht diesem kein voraussetzungsloses, d. h. über Art. 269 OR hinausgehendes Recht zur vorzeitigen Kündigung des Vertrages zu. Eine vorzeitige Beendigung des Vertrages wird erst bewirkt, wenn dem Mieter die Mietsache nach deren Veräusserung gemäss Art. 259 OR entzogen wird. Die Fortführung des Mietverhältnisses bedarf im Falle der Konkurseröffnung nach Besitzantritt keiner Erklärung der Konkursverwaltung im Sinne von Art. 211 SchKG . Diese hat nach heute wohl herrschender Auffassung weder ein Recht noch eine Pflicht, den "Eintritt" in den Vertrag zu erklären (SCHMID, N. 41 zu Art. 259 OR ). Allfällige Rechtswirkungen eines solchen BGE 115 III 65 S. 67 "Eintritts" in die Schadenersatzforderung des Mieters nach Art. 259 Abs. 1 OR (Konkurs- oder Massaschuld) stehen hier nicht zur Beurteilung. b) Sieht der Vertrag - wie im vorliegenden Fall - die periodische Leistung eines Mietzinses vor, so stellt sich der Anspruch des Vermieters auf dieses Entgelt nicht als eine im Moment des Vertragsschlusses für die ganze vereinbarte Mietdauer begründete Forderung dar, die bloss hinsichtlich ihrer Fälligkeit in einzelne Raten zerfallen würde, sondern die Mietzinsforderung entsteht mit dem Ablauf oder dem Beginn einer jeden Zahlungsperiode von neuem ( BGE 41 III 230 E. 2). Die Umwandlung des schuldnerischen Vermögens zur Konkursmasse mit Eröffnung des Konkurses aber hat in diesem Zeitpunkt einen Wechsel in der Rechtszuständigkeit zur Folge. Der Schuldner des Konkursiten bleibt nicht mehr diesem, sondern der Konkursmasse gegenüber verpflichtet. Wie demnach bei Eintritt der Masse in den Vertrag des konkursiten Mieters die nach Eröffnung fälligen Mietzinse zu Massaforderungen werden ( BGE 104 III 91 ), so wird ab jenem Zeitpunkt im Konkurs des Vermieters die Schuld des Mieters für den laufenden Zins zu einer Massaschuld ( BGE 41 III 231 ). Folge davon ist der Ausschluss der Verrechnung nach Art. 213 Abs. 2 Ziff. 2 SchKG . Der Wechsel in der Rechtszuständigkeit hat weiter zur Folge, dass Vorausverfügungen des Vermieters, d. h. des Gemeinschuldners, mit welchen dieser über künftige Mietzinsforderungen verfügt, lediglich bis und mit dem im Zeitpunkt der Konkurseröffnung laufenden Mietzins rechtswirksam sein können: weitergehend fehlt die Verfügungsmacht ( BGE 41 III 231 /2). c) Die Verrechnung einer künftigen Mietzinsforderung aber stellt in ihrer Wirkung nichts anderes dar als eine solche Vorausverfügung. Soweit eine Einziehung oder Abtretung künftiger Mietzinse daher gegenüber der Konkursmasse nicht rechtsverbindlich ist, sowenig kann es eine Verrechnungserklärung des Mieters nach Massgabe eines Verrechnungsvertrages der Parteien sein. Mit Art. 213 SchKG lässt sich nicht vereinbaren, dass ein Schuldner durch vertragliche Vereinbarung mit dem Gläubiger sich zum voraus die Möglichkeit der Kompensation seiner Gegenforderung und damit deren Deckung im späteren Konkurs des Gläubigers verschafft und dadurch die Wirkung der Konkurseröffnung bezüglich seiner Person illusorisch macht. Der Mieter kann sich daher im Konkurs des Vermieters seiner Schuldpflicht der Masse gegenüber nicht durch vorgängigen Verrechnungsvertrag mit dem späteren BGE 115 III 65 S. 68 Gemeinschuldner entziehen. Der angefochtene Entscheid des Obergerichts erweist sich damit als bundesrechtskonform.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